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9985" w14:textId="0589985">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9. став 10. и члана 10. став 7. Закона о инспекцијском надзору (,,Службени гласник РС”, број 36/15),</w:t>
      </w:r>
    </w:p>
    <w:p>
      <w:pPr>
        <w:spacing w:after="150"/>
        <w:ind w:left="0"/>
        <w:jc w:val="left"/>
      </w:pPr>
      <w:r>
        <w:rPr>
          <w:rFonts w:ascii="Verdana"/>
          <w:b w:val="false"/>
          <w:i w:val="false"/>
          <w:color w:val="000000"/>
          <w:sz w:val="22"/>
        </w:rPr>
        <w:t>Министар трговине, туризма и телекомуникација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у области туризма и угоститељства</w:t>
      </w:r>
    </w:p>
    <w:p>
      <w:pPr>
        <w:spacing w:after="120"/>
        <w:ind w:left="0"/>
        <w:jc w:val="center"/>
      </w:pPr>
      <w:r>
        <w:rPr>
          <w:rFonts w:ascii="Verdana"/>
          <w:b w:val="false"/>
          <w:i w:val="false"/>
          <w:color w:val="000000"/>
          <w:sz w:val="22"/>
        </w:rPr>
        <w:t>"Службени гласник РС", број 68 од 7. септембра 2018.</w:t>
      </w:r>
    </w:p>
    <w:p>
      <w:pPr>
        <w:spacing w:after="120"/>
        <w:ind w:left="0"/>
        <w:jc w:val="center"/>
      </w:pPr>
      <w:r>
        <w:rPr>
          <w:rFonts w:ascii="Verdana"/>
          <w:b/>
          <w:i w:val="false"/>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прописују се посебни елементи процене ризика, учесталост вршења инспекцијског надзора на основу процене ризика и посебни елементи плана инспекцијског надзора у области туризма и угоститељства.</w:t>
      </w:r>
    </w:p>
    <w:p>
      <w:pPr>
        <w:spacing w:after="120"/>
        <w:ind w:left="0"/>
        <w:jc w:val="center"/>
      </w:pPr>
      <w:r>
        <w:rPr>
          <w:rFonts w:ascii="Verdana"/>
          <w:b/>
          <w:i w:val="false"/>
          <w:color w:val="000000"/>
          <w:sz w:val="22"/>
        </w:rPr>
        <w:t>Посебни критеријуми за процену ризика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Степен ризика јесте производ тежине штетних последица и вероватноће настанка штетних последица.</w:t>
      </w:r>
    </w:p>
    <w:p>
      <w:pPr>
        <w:spacing w:after="150"/>
        <w:ind w:left="0"/>
        <w:jc w:val="left"/>
      </w:pPr>
      <w:r>
        <w:rPr>
          <w:rFonts w:ascii="Verdana"/>
          <w:b w:val="false"/>
          <w:i w:val="false"/>
          <w:color w:val="000000"/>
          <w:sz w:val="22"/>
        </w:rPr>
        <w:t>Тежина штетних последица представља производ природе штетних последица, која произилази из врсте делатности или активности надзираног субјекта тј. услуга које надзирани субјекат пружа и обима штетних последица, који зависи од броја лица који користе услугу, односно броја лица која остварују одређена права у надзираном субјекту или у вези са њим.</w:t>
      </w:r>
    </w:p>
    <w:p>
      <w:pPr>
        <w:spacing w:after="150"/>
        <w:ind w:left="0"/>
        <w:jc w:val="left"/>
      </w:pPr>
      <w:r>
        <w:rPr>
          <w:rFonts w:ascii="Verdana"/>
          <w:b w:val="false"/>
          <w:i w:val="false"/>
          <w:color w:val="000000"/>
          <w:sz w:val="22"/>
        </w:rPr>
        <w:t>Тежина штетних последица утврђује се у распону од 1 до 25.</w:t>
      </w:r>
    </w:p>
    <w:p>
      <w:pPr>
        <w:spacing w:after="150"/>
        <w:ind w:left="0"/>
        <w:jc w:val="left"/>
      </w:pPr>
      <w:r>
        <w:rPr>
          <w:rFonts w:ascii="Verdana"/>
          <w:b w:val="false"/>
          <w:i w:val="false"/>
          <w:color w:val="000000"/>
          <w:sz w:val="22"/>
        </w:rPr>
        <w:t>Вероватноћа настанка штетних последица представља производ посебних критеријума за вероватноћу у виду ризика утврђеног у претходном надзору или на основу извештаја о самопровери испуњености захтева из контролне листе и самопроцени ризика, незаконитости и неправилности утврђених у инспекцијским надзорима у претходне три године, спремности субјекта да обезбеди законитост и безбедност свог пословања и поступања и способности да то учини.</w:t>
      </w:r>
    </w:p>
    <w:p>
      <w:pPr>
        <w:spacing w:after="150"/>
        <w:ind w:left="0"/>
        <w:jc w:val="left"/>
      </w:pPr>
      <w:r>
        <w:rPr>
          <w:rFonts w:ascii="Verdana"/>
          <w:b w:val="false"/>
          <w:i w:val="false"/>
          <w:color w:val="000000"/>
          <w:sz w:val="22"/>
        </w:rPr>
        <w:t>Вероватноћа настанка штетних последица утврђује се у распону од 1 до 125.</w:t>
      </w:r>
    </w:p>
    <w:p>
      <w:pPr>
        <w:spacing w:after="150"/>
        <w:ind w:left="0"/>
        <w:jc w:val="left"/>
      </w:pPr>
      <w:r>
        <w:rPr>
          <w:rFonts w:ascii="Verdana"/>
          <w:b w:val="false"/>
          <w:i w:val="false"/>
          <w:color w:val="000000"/>
          <w:sz w:val="22"/>
        </w:rPr>
        <w:t>Тежина штетних последица и вероватноћа настанка штетних последица своде се на нумеричке вредности у распону од 1 до 5, ради једноставније примене матрице ризика методом 5 x 5.</w:t>
      </w:r>
    </w:p>
    <w:p>
      <w:pPr>
        <w:spacing w:after="150"/>
        <w:ind w:left="0"/>
        <w:jc w:val="left"/>
      </w:pPr>
      <w:r>
        <w:rPr>
          <w:rFonts w:ascii="Verdana"/>
          <w:b w:val="false"/>
          <w:i w:val="false"/>
          <w:color w:val="000000"/>
          <w:sz w:val="22"/>
        </w:rPr>
        <w:t>Код новооснованих субјеката (субјекти који су основани и почели са обављањем делатности у последњих годину дана) као и код субјеката код којих у претходном периоду није вршен инспекцијски надзор утврђује се као претпоставка средњи степен ризика.</w:t>
      </w:r>
    </w:p>
    <w:p>
      <w:pPr>
        <w:spacing w:after="150"/>
        <w:ind w:left="0"/>
        <w:jc w:val="left"/>
      </w:pPr>
      <w:r>
        <w:rPr>
          <w:rFonts w:ascii="Verdana"/>
          <w:b w:val="false"/>
          <w:i w:val="false"/>
          <w:color w:val="000000"/>
          <w:sz w:val="22"/>
        </w:rPr>
        <w:t>Преглед посебних критеријума за процену ризика у области туризма и угоститељства, матрица ризика и метод за процену ризика – (Прилог) одштампан је уз овај правилник и чини његов саставни део.</w:t>
      </w:r>
    </w:p>
    <w:p>
      <w:pPr>
        <w:spacing w:after="120"/>
        <w:ind w:left="0"/>
        <w:jc w:val="center"/>
      </w:pPr>
      <w:r>
        <w:rPr>
          <w:rFonts w:ascii="Verdana"/>
          <w:b/>
          <w:i w:val="false"/>
          <w:color w:val="000000"/>
          <w:sz w:val="22"/>
        </w:rPr>
        <w:t>Процена ризика за ванредни инспекцијски надзор</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Процена ризика за ванредни инспекцијски надзор врши се на основу критеријума за процену ризика за редован инспекцијски надзор и оцене колико је опасност конкретна и колика је јачина штетних последица по кориснике услуга и шта надзирани субјекат чини да спречи настанак конкретне штете или да је отклони или умањи, да ли је способан да то уради, односно у којој мери то чини и може, да ли постоји основ сумње да је извршен прекршај, привредни преступ или кривично дело, која тежина дела је у питању и колико износи запрећена казна.</w:t>
      </w:r>
    </w:p>
    <w:p>
      <w:pPr>
        <w:spacing w:after="150"/>
        <w:ind w:left="0"/>
        <w:jc w:val="left"/>
      </w:pPr>
      <w:r>
        <w:rPr>
          <w:rFonts w:ascii="Verdana"/>
          <w:b w:val="false"/>
          <w:i w:val="false"/>
          <w:color w:val="000000"/>
          <w:sz w:val="22"/>
        </w:rPr>
        <w:t>Процена ризика који произлази из поднете представке, односно иницијативе за покретање ванредног инспекцијског надзора врши се на основу критеријума за процену ризика за редован инспекцијски надзор и оцене колико је опасност конкретна и колика је јачина штетних последица по кориснике услуга.</w:t>
      </w:r>
    </w:p>
    <w:p>
      <w:pPr>
        <w:spacing w:after="120"/>
        <w:ind w:left="0"/>
        <w:jc w:val="center"/>
      </w:pPr>
      <w:r>
        <w:rPr>
          <w:rFonts w:ascii="Verdana"/>
          <w:b/>
          <w:i w:val="false"/>
          <w:color w:val="000000"/>
          <w:sz w:val="22"/>
        </w:rPr>
        <w:t>Непосредна процена ризика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Инцидент код надзираног субјекта, који је за последицу имао озбиљно угрожавање права и здравља корисника услуга, непосредно повлачи критичан ризик тог субјекта, без упуштања у даљу процену ризика на основу осталих критеријума и елемената.</w:t>
      </w:r>
    </w:p>
    <w:p>
      <w:pPr>
        <w:spacing w:after="150"/>
        <w:ind w:left="0"/>
        <w:jc w:val="left"/>
      </w:pPr>
      <w:r>
        <w:rPr>
          <w:rFonts w:ascii="Verdana"/>
          <w:b w:val="false"/>
          <w:i w:val="false"/>
          <w:color w:val="000000"/>
          <w:sz w:val="22"/>
        </w:rPr>
        <w:t>Исто дејство имају и основ сумње да надзирани субјекат има својство нерегистрованог субјекта, односно да је овлашћено лице надзираног субјекта учинилац кривичног дела.</w:t>
      </w:r>
    </w:p>
    <w:p>
      <w:pPr>
        <w:spacing w:after="120"/>
        <w:ind w:left="0"/>
        <w:jc w:val="center"/>
      </w:pPr>
      <w:r>
        <w:rPr>
          <w:rFonts w:ascii="Verdana"/>
          <w:b/>
          <w:i w:val="false"/>
          <w:color w:val="000000"/>
          <w:sz w:val="22"/>
        </w:rPr>
        <w:t>Посебни елементи плана инспекцијског надзора у области туризма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План инспекцијског надзора, поред обавезних елемената, садржи и:</w:t>
      </w:r>
    </w:p>
    <w:p>
      <w:pPr>
        <w:spacing w:after="150"/>
        <w:ind w:left="0"/>
        <w:jc w:val="left"/>
      </w:pPr>
      <w:r>
        <w:rPr>
          <w:rFonts w:ascii="Verdana"/>
          <w:b w:val="false"/>
          <w:i w:val="false"/>
          <w:color w:val="000000"/>
          <w:sz w:val="22"/>
        </w:rPr>
        <w:t>1) мере и активности за постизање циљева;</w:t>
      </w:r>
    </w:p>
    <w:p>
      <w:pPr>
        <w:spacing w:after="150"/>
        <w:ind w:left="0"/>
        <w:jc w:val="left"/>
      </w:pPr>
      <w:r>
        <w:rPr>
          <w:rFonts w:ascii="Verdana"/>
          <w:b w:val="false"/>
          <w:i w:val="false"/>
          <w:color w:val="000000"/>
          <w:sz w:val="22"/>
        </w:rPr>
        <w:t>2) рок за завршетак предвиђених мера и активности;</w:t>
      </w:r>
    </w:p>
    <w:p>
      <w:pPr>
        <w:spacing w:after="150"/>
        <w:ind w:left="0"/>
        <w:jc w:val="left"/>
      </w:pPr>
      <w:r>
        <w:rPr>
          <w:rFonts w:ascii="Verdana"/>
          <w:b w:val="false"/>
          <w:i w:val="false"/>
          <w:color w:val="000000"/>
          <w:sz w:val="22"/>
        </w:rPr>
        <w:t>3) показатеље учинака на нивоу мера и на нивоу активности.</w:t>
      </w:r>
    </w:p>
    <w:p>
      <w:pPr>
        <w:spacing w:after="150"/>
        <w:ind w:left="0"/>
        <w:jc w:val="left"/>
      </w:pPr>
      <w:r>
        <w:rPr>
          <w:rFonts w:ascii="Verdana"/>
          <w:b w:val="false"/>
          <w:i w:val="false"/>
          <w:color w:val="000000"/>
          <w:sz w:val="22"/>
        </w:rPr>
        <w:t>У плану инспекцијског надзора утврђују се годишњи циљеви инспекцијског надзора у области туристичке и угоститељске делатности и исказују у мерљивим ефектима за које Сектор туристичке инспекције планира да буду остварени.</w:t>
      </w:r>
    </w:p>
    <w:p>
      <w:pPr>
        <w:spacing w:after="150"/>
        <w:ind w:left="0"/>
        <w:jc w:val="left"/>
      </w:pPr>
      <w:r>
        <w:rPr>
          <w:rFonts w:ascii="Verdana"/>
          <w:b w:val="false"/>
          <w:i w:val="false"/>
          <w:color w:val="000000"/>
          <w:sz w:val="22"/>
        </w:rPr>
        <w:t xml:space="preserve">Планом инспекцијског надзора, активности туристичке инспекције се усмеравају првенствено ка привредним субјектима са високим степеном вероватноће настанка штетних последица, односно ка субјектима код којих је, сходно природи послова, повећан ризик по остваривање права корисника услуга, субјектима код којих је констатован повећан број неправилности у претходној години и ка субјектима </w:t>
      </w:r>
      <w:r>
        <w:rPr>
          <w:rFonts w:ascii="Verdana"/>
          <w:b w:val="false"/>
          <w:i w:val="false"/>
          <w:color w:val="000000"/>
          <w:sz w:val="22"/>
        </w:rPr>
        <w:t>код којих се у потребној мери не поштују закони и прописи у области туристичке и угоститељске делатности, а на основу утврђеног степена ризика, као и ка субјектима надзора код којих у претходној години није вршен надзор.</w:t>
      </w:r>
    </w:p>
    <w:p>
      <w:pPr>
        <w:spacing w:after="120"/>
        <w:ind w:left="0"/>
        <w:jc w:val="center"/>
      </w:pPr>
      <w:r>
        <w:rPr>
          <w:rFonts w:ascii="Verdana"/>
          <w:b/>
          <w:i w:val="false"/>
          <w:color w:val="000000"/>
          <w:sz w:val="22"/>
        </w:rPr>
        <w:t>Учесталост вршења инспекцијског надзора на основу процене ризика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 xml:space="preserve">На основу процене ризика одређује се степен ризика код надзираног субјекта и утврђује учесталост спровођења инспекцијског </w:t>
      </w:r>
      <w:r>
        <w:rPr>
          <w:rFonts w:ascii="Verdana"/>
          <w:b w:val="false"/>
          <w:i w:val="false"/>
          <w:color w:val="000000"/>
          <w:sz w:val="22"/>
        </w:rPr>
        <w:t>надзора, с тим што се:</w:t>
      </w:r>
    </w:p>
    <w:p>
      <w:pPr>
        <w:spacing w:after="150"/>
        <w:ind w:left="0"/>
        <w:jc w:val="left"/>
      </w:pPr>
      <w:r>
        <w:rPr>
          <w:rFonts w:ascii="Verdana"/>
          <w:b w:val="false"/>
          <w:i w:val="false"/>
          <w:color w:val="000000"/>
          <w:sz w:val="22"/>
        </w:rPr>
        <w:t>1) за субјекте код којих је процењен критичан или висок ризик – инспекцијски надзор врши најмање једном у току године;</w:t>
      </w:r>
    </w:p>
    <w:p>
      <w:pPr>
        <w:spacing w:after="150"/>
        <w:ind w:left="0"/>
        <w:jc w:val="left"/>
      </w:pPr>
      <w:r>
        <w:rPr>
          <w:rFonts w:ascii="Verdana"/>
          <w:b w:val="false"/>
          <w:i w:val="false"/>
          <w:color w:val="000000"/>
          <w:sz w:val="22"/>
        </w:rPr>
        <w:t>2) за субјекте код којих је процењен средњи или низак ризик – инспекцијски надзор врши најмање једном у току три године.</w:t>
      </w:r>
    </w:p>
    <w:p>
      <w:pPr>
        <w:spacing w:after="120"/>
        <w:ind w:left="0"/>
        <w:jc w:val="center"/>
      </w:pPr>
      <w:r>
        <w:rPr>
          <w:rFonts w:ascii="Verdana"/>
          <w:b/>
          <w:i w:val="false"/>
          <w:color w:val="000000"/>
          <w:sz w:val="22"/>
        </w:rPr>
        <w:t>Завршнa одредбa</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Број 110-00-43/2018-09</w:t>
      </w:r>
    </w:p>
    <w:p>
      <w:pPr>
        <w:spacing w:after="150"/>
        <w:ind w:left="0"/>
        <w:jc w:val="right"/>
      </w:pPr>
      <w:r>
        <w:rPr>
          <w:rFonts w:ascii="Verdana"/>
          <w:b w:val="false"/>
          <w:i w:val="false"/>
          <w:color w:val="000000"/>
          <w:sz w:val="22"/>
        </w:rPr>
        <w:t>У Београду, 27. августа 2018.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Расим Љајић,</w:t>
      </w:r>
      <w:r>
        <w:rPr>
          <w:rFonts w:ascii="Verdana"/>
          <w:b w:val="false"/>
          <w:i w:val="false"/>
          <w:color w:val="000000"/>
          <w:sz w:val="22"/>
        </w:rPr>
        <w:t xml:space="preserve"> с.р.</w:t>
      </w:r>
    </w:p>
    <w:p>
      <w:pPr>
        <w:spacing w:after="120"/>
        <w:ind w:left="0"/>
        <w:jc w:val="right"/>
      </w:pPr>
      <w:r>
        <w:rPr>
          <w:rFonts w:ascii="Verdana"/>
          <w:b w:val="false"/>
          <w:i w:val="false"/>
          <w:color w:val="000000"/>
          <w:sz w:val="22"/>
        </w:rPr>
        <w:t>Прилог</w:t>
      </w:r>
    </w:p>
    <w:p>
      <w:pPr>
        <w:spacing w:after="120"/>
        <w:ind w:left="0"/>
        <w:jc w:val="center"/>
      </w:pPr>
      <w:r>
        <w:rPr>
          <w:rFonts w:ascii="Verdana"/>
          <w:b/>
          <w:i w:val="false"/>
          <w:color w:val="000000"/>
          <w:sz w:val="22"/>
        </w:rPr>
        <w:t>ПРЕГЛЕД ПОСЕБНИХ КРИТЕРИЈУМА ЗА ПРОЦЕНУ РИЗИКА У ОБЛАСТИ ТУРИЗМА И УГОСТИТЕЉСТВА, МАТРИЦА РИЗИКА И МЕТОД ЗА ПРОЦЕНУ РИЗИКА</w:t>
      </w:r>
    </w:p>
    <w:p>
      <w:pPr>
        <w:spacing w:after="120"/>
        <w:ind w:left="0"/>
        <w:jc w:val="center"/>
      </w:pPr>
      <w:r>
        <w:rPr>
          <w:rFonts w:ascii="Verdana"/>
          <w:b/>
          <w:i w:val="false"/>
          <w:color w:val="000000"/>
          <w:sz w:val="22"/>
        </w:rPr>
        <w:t>I. Посебни критеријуми за процену ризика</w:t>
      </w:r>
    </w:p>
    <w:p>
      <w:pPr>
        <w:spacing w:after="150"/>
        <w:ind w:left="0"/>
        <w:jc w:val="left"/>
      </w:pPr>
      <w:r>
        <w:rPr>
          <w:rFonts w:ascii="Verdana"/>
          <w:b/>
          <w:i w:val="false"/>
          <w:color w:val="000000"/>
          <w:sz w:val="22"/>
        </w:rPr>
        <w:t>1. Посебни критеријуми за процену природе штетне последице</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1532"/>
        <w:gridCol w:w="1434"/>
        <w:gridCol w:w="1434"/>
      </w:tblGrid>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Делатност</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Опис штетне последице</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Нумеричка вредност</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ТА организатори туристичког путовања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ТА посредници у продаји туристичког путовања </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Туристичка путовања за сопствене потребе</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Угоститељски објекти који пружају услуге пића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Угоститељски објекти који пружају услуге исхране и пића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Угоститељски објекти који пружају услуге смештаја </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Угоститељских</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Угоститељских објеката који пружају услуге исхране и пића и услуживање врше у оригиналној амбалажи или у амбалажи за једнократну употребу преко наткривеног шалтера или пулта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Угоститељске услуге на сајмовима, манифестацијама и покретни објекти </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Угоститељске услуге у домаћој радиности</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Угоститељске услуге у сеоском туристичком домаћинству </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Услуге наутичког туризма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Услуге у ловном туризму </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Услуге изнајмљивања возила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Јавна скијалишта </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r>
        <w:trPr>
          <w:trHeight w:val="45" w:hRule="atLeast"/>
        </w:trPr>
        <w:tc>
          <w:tcPr>
            <w:tcW w:w="1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Услуге туристичких професија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4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bl>
    <w:p>
      <w:pPr>
        <w:spacing w:after="150"/>
        <w:ind w:left="0"/>
        <w:jc w:val="left"/>
      </w:pPr>
      <w:r>
        <w:rPr>
          <w:rFonts w:ascii="Verdana"/>
          <w:b/>
          <w:i w:val="false"/>
          <w:color w:val="000000"/>
          <w:sz w:val="22"/>
        </w:rPr>
        <w:t>2. Посебни критеријуми за процену обима штетних последица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190"/>
        <w:gridCol w:w="2105"/>
        <w:gridCol w:w="2105"/>
      </w:tblGrid>
      <w:tr>
        <w:trPr>
          <w:trHeight w:val="45" w:hRule="atLeast"/>
        </w:trPr>
        <w:tc>
          <w:tcPr>
            <w:tcW w:w="0" w:type="auto"/>
            <w:gridSpan w:val="3"/>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 Укупан број лица</w:t>
            </w:r>
            <w:r>
              <w:rPr>
                <w:rFonts w:ascii="Verdana"/>
                <w:b w:val="false"/>
                <w:i w:val="false"/>
                <w:color w:val="000000"/>
                <w:sz w:val="22"/>
              </w:rPr>
              <w:t xml:space="preserve"> </w:t>
            </w:r>
            <w:r>
              <w:rPr>
                <w:rFonts w:ascii="Verdana"/>
                <w:b/>
                <w:i w:val="false"/>
                <w:color w:val="000000"/>
                <w:sz w:val="22"/>
              </w:rPr>
              <w:t>која користе услуге или остварују одређена права</w:t>
            </w:r>
            <w:r>
              <w:br/>
            </w:r>
            <w:r>
              <w:rPr>
                <w:rFonts w:ascii="Verdana"/>
                <w:b/>
                <w:i w:val="false"/>
                <w:color w:val="000000"/>
                <w:sz w:val="22"/>
              </w:rPr>
              <w:t xml:space="preserve"> у надзираном субјекту или у вези са њим</w:t>
            </w:r>
          </w:p>
        </w:tc>
      </w:tr>
      <w:tr>
        <w:trPr>
          <w:trHeight w:val="45" w:hRule="atLeast"/>
        </w:trPr>
        <w:tc>
          <w:tcPr>
            <w:tcW w:w="1019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Број лица</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Опис штетне последице</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Нумеричка вредност</w:t>
            </w:r>
          </w:p>
        </w:tc>
      </w:tr>
      <w:tr>
        <w:trPr>
          <w:trHeight w:val="45" w:hRule="atLeast"/>
        </w:trPr>
        <w:tc>
          <w:tcPr>
            <w:tcW w:w="1019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1–10</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r>
      <w:tr>
        <w:trPr>
          <w:trHeight w:val="45" w:hRule="atLeast"/>
        </w:trPr>
        <w:tc>
          <w:tcPr>
            <w:tcW w:w="1019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11–50</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r>
      <w:tr>
        <w:trPr>
          <w:trHeight w:val="45" w:hRule="atLeast"/>
        </w:trPr>
        <w:tc>
          <w:tcPr>
            <w:tcW w:w="1019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51–100</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019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101–150</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019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Преко 150</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21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bl>
    <w:p>
      <w:pPr>
        <w:spacing w:after="150"/>
        <w:ind w:left="0"/>
        <w:jc w:val="left"/>
      </w:pPr>
      <w:r>
        <w:rPr>
          <w:rFonts w:ascii="Verdana"/>
          <w:b/>
          <w:i w:val="false"/>
          <w:color w:val="000000"/>
          <w:sz w:val="22"/>
        </w:rPr>
        <w:t>3. Тежина штетних последица</w:t>
      </w:r>
    </w:p>
    <w:p>
      <w:pPr>
        <w:spacing w:after="150"/>
        <w:ind w:left="0"/>
        <w:jc w:val="left"/>
      </w:pPr>
      <w:r>
        <w:rPr>
          <w:rFonts w:ascii="Verdana"/>
          <w:b w:val="false"/>
          <w:i w:val="false"/>
          <w:color w:val="000000"/>
          <w:sz w:val="22"/>
        </w:rPr>
        <w:t>Тежина штетних последица представља производ природе штетних последица и обима штетних последица и нумерички је исказана од 1 до 5 са приказом распона бодова.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531"/>
        <w:gridCol w:w="11337"/>
        <w:gridCol w:w="1532"/>
      </w:tblGrid>
      <w:tr>
        <w:trPr>
          <w:trHeight w:val="45" w:hRule="atLeast"/>
        </w:trPr>
        <w:tc>
          <w:tcPr>
            <w:tcW w:w="15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Тежина штетних последица</w:t>
            </w:r>
          </w:p>
        </w:tc>
        <w:tc>
          <w:tcPr>
            <w:tcW w:w="1133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Распон бодова</w:t>
            </w:r>
          </w:p>
        </w:tc>
        <w:tc>
          <w:tcPr>
            <w:tcW w:w="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Нумеричка вредност</w:t>
            </w:r>
          </w:p>
        </w:tc>
      </w:tr>
      <w:tr>
        <w:trPr>
          <w:trHeight w:val="45" w:hRule="atLeast"/>
        </w:trPr>
        <w:tc>
          <w:tcPr>
            <w:tcW w:w="15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1133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1, 2</w:t>
            </w:r>
          </w:p>
        </w:tc>
        <w:tc>
          <w:tcPr>
            <w:tcW w:w="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r>
      <w:tr>
        <w:trPr>
          <w:trHeight w:val="45" w:hRule="atLeast"/>
        </w:trPr>
        <w:tc>
          <w:tcPr>
            <w:tcW w:w="15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1133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3, 4, 5</w:t>
            </w:r>
          </w:p>
        </w:tc>
        <w:tc>
          <w:tcPr>
            <w:tcW w:w="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r>
      <w:tr>
        <w:trPr>
          <w:trHeight w:val="45" w:hRule="atLeast"/>
        </w:trPr>
        <w:tc>
          <w:tcPr>
            <w:tcW w:w="15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133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6, 8, 9</w:t>
            </w:r>
          </w:p>
        </w:tc>
        <w:tc>
          <w:tcPr>
            <w:tcW w:w="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5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133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10, 12, 15, 16</w:t>
            </w:r>
          </w:p>
        </w:tc>
        <w:tc>
          <w:tcPr>
            <w:tcW w:w="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5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133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20, 25</w:t>
            </w:r>
          </w:p>
        </w:tc>
        <w:tc>
          <w:tcPr>
            <w:tcW w:w="15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bl>
    <w:p>
      <w:pPr>
        <w:spacing w:after="150"/>
        <w:ind w:left="0"/>
        <w:jc w:val="left"/>
      </w:pPr>
      <w:r>
        <w:rPr>
          <w:rFonts w:ascii="Verdana"/>
          <w:b/>
          <w:i w:val="false"/>
          <w:color w:val="000000"/>
          <w:sz w:val="22"/>
        </w:rPr>
        <w:t>4. Вероватноћа настанка штетних последица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2410"/>
        <w:gridCol w:w="805"/>
        <w:gridCol w:w="1185"/>
      </w:tblGrid>
      <w:tr>
        <w:trPr>
          <w:trHeight w:val="45" w:hRule="atLeast"/>
        </w:trPr>
        <w:tc>
          <w:tcPr>
            <w:tcW w:w="0" w:type="auto"/>
            <w:gridSpan w:val="3"/>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 Ризик утврђен у претходном надзору</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Степен ризика из претходног надзора</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Опис вероватноће</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Нумеричка вредност</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Незнатан</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Низак</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Средњи</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Висок</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Критичан</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r>
        <w:trPr>
          <w:trHeight w:val="45" w:hRule="atLeast"/>
        </w:trPr>
        <w:tc>
          <w:tcPr>
            <w:tcW w:w="0" w:type="auto"/>
            <w:gridSpan w:val="3"/>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 Незаконитости и неправилности утврђене у саветодавним посетама и инспекцијским надзорима у претходне две године</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Поступање</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Опис вероватноће</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Нумеричка вредност</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Није било наложених мера</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Саветодавне посете – поступио по препоруци</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Извршење изречених мера</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Решење о забрани рада, прекршајни налог, захтев за покретање прекршајног поступка</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Привредни преступ, кривична пријава</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r>
        <w:trPr>
          <w:trHeight w:val="45" w:hRule="atLeast"/>
        </w:trPr>
        <w:tc>
          <w:tcPr>
            <w:tcW w:w="0" w:type="auto"/>
            <w:gridSpan w:val="3"/>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 Спремност субјекта да обезбеди законитост и безбедност свог пословања и поступања и да отклони или умањи остварење ризика</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Поступање – Самопровера испуњености захтева из контролне листе и самопроцена ризика (укупан број бодова у делу контролне листе који је био предмет надзора у %)</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Опис вероватноће</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Нумеричка вредност</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Износи 91–100%</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Износи 81–90%</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Износи 71–80%</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Износи 51–70%</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124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Износи 50% и мање</w:t>
            </w:r>
          </w:p>
        </w:tc>
        <w:tc>
          <w:tcPr>
            <w:tcW w:w="80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1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914"/>
        <w:gridCol w:w="9277"/>
        <w:gridCol w:w="2209"/>
      </w:tblGrid>
      <w:tr>
        <w:trPr>
          <w:trHeight w:val="45" w:hRule="atLeast"/>
        </w:trPr>
        <w:tc>
          <w:tcPr>
            <w:tcW w:w="29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Вероватноћа настанка штетних последица</w:t>
            </w:r>
          </w:p>
        </w:tc>
        <w:tc>
          <w:tcPr>
            <w:tcW w:w="92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Распон бодова</w:t>
            </w:r>
          </w:p>
        </w:tc>
        <w:tc>
          <w:tcPr>
            <w:tcW w:w="22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Нумеричка вредност</w:t>
            </w:r>
          </w:p>
        </w:tc>
      </w:tr>
      <w:tr>
        <w:trPr>
          <w:trHeight w:val="45" w:hRule="atLeast"/>
        </w:trPr>
        <w:tc>
          <w:tcPr>
            <w:tcW w:w="29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92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1–4</w:t>
            </w:r>
          </w:p>
        </w:tc>
        <w:tc>
          <w:tcPr>
            <w:tcW w:w="22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r>
      <w:tr>
        <w:trPr>
          <w:trHeight w:val="45" w:hRule="atLeast"/>
        </w:trPr>
        <w:tc>
          <w:tcPr>
            <w:tcW w:w="29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92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5–8</w:t>
            </w:r>
          </w:p>
        </w:tc>
        <w:tc>
          <w:tcPr>
            <w:tcW w:w="22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r>
      <w:tr>
        <w:trPr>
          <w:trHeight w:val="45" w:hRule="atLeast"/>
        </w:trPr>
        <w:tc>
          <w:tcPr>
            <w:tcW w:w="29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92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9–27</w:t>
            </w:r>
          </w:p>
        </w:tc>
        <w:tc>
          <w:tcPr>
            <w:tcW w:w="22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r>
      <w:tr>
        <w:trPr>
          <w:trHeight w:val="45" w:hRule="atLeast"/>
        </w:trPr>
        <w:tc>
          <w:tcPr>
            <w:tcW w:w="29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92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28–64</w:t>
            </w:r>
          </w:p>
        </w:tc>
        <w:tc>
          <w:tcPr>
            <w:tcW w:w="22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r>
      <w:tr>
        <w:trPr>
          <w:trHeight w:val="45" w:hRule="atLeast"/>
        </w:trPr>
        <w:tc>
          <w:tcPr>
            <w:tcW w:w="29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92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65–125</w:t>
            </w:r>
          </w:p>
        </w:tc>
        <w:tc>
          <w:tcPr>
            <w:tcW w:w="22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bl>
    <w:p>
      <w:pPr>
        <w:spacing w:after="120"/>
        <w:ind w:left="0"/>
        <w:jc w:val="center"/>
      </w:pPr>
      <w:r>
        <w:rPr>
          <w:rFonts w:ascii="Verdana"/>
          <w:b/>
          <w:i w:val="false"/>
          <w:color w:val="000000"/>
          <w:sz w:val="22"/>
        </w:rPr>
        <w:t>II. Матрица ризика и метод за процену ризика</w:t>
      </w:r>
    </w:p>
    <w:p>
      <w:pPr>
        <w:spacing w:after="150"/>
        <w:ind w:left="0"/>
        <w:jc w:val="left"/>
      </w:pPr>
      <w:r>
        <w:rPr>
          <w:rFonts w:ascii="Verdana"/>
          <w:b w:val="false"/>
          <w:i w:val="false"/>
          <w:color w:val="000000"/>
          <w:sz w:val="22"/>
        </w:rPr>
        <w:t>Овде је приказана метода 5 x 5 (Табела 1).</w:t>
      </w:r>
    </w:p>
    <w:p>
      <w:pPr>
        <w:spacing w:after="150"/>
        <w:ind w:left="0"/>
        <w:jc w:val="left"/>
      </w:pPr>
      <w:r>
        <w:rPr>
          <w:rFonts w:ascii="Verdana"/>
          <w:b w:val="false"/>
          <w:i w:val="false"/>
          <w:color w:val="000000"/>
          <w:sz w:val="22"/>
        </w:rPr>
        <w:t>За примену ове методе потребно је за сваког послодавца (који се анализира применом методе) утврдити:</w:t>
      </w:r>
    </w:p>
    <w:p>
      <w:pPr>
        <w:spacing w:after="150"/>
        <w:ind w:left="0"/>
        <w:jc w:val="left"/>
      </w:pPr>
      <w:r>
        <w:rPr>
          <w:rFonts w:ascii="Verdana"/>
          <w:b w:val="false"/>
          <w:i w:val="false"/>
          <w:color w:val="000000"/>
          <w:sz w:val="22"/>
        </w:rPr>
        <w:t>– вероватноћу настанка штетних последица и</w:t>
      </w:r>
    </w:p>
    <w:p>
      <w:pPr>
        <w:spacing w:after="150"/>
        <w:ind w:left="0"/>
        <w:jc w:val="left"/>
      </w:pPr>
      <w:r>
        <w:rPr>
          <w:rFonts w:ascii="Verdana"/>
          <w:b w:val="false"/>
          <w:i w:val="false"/>
          <w:color w:val="000000"/>
          <w:sz w:val="22"/>
        </w:rPr>
        <w:t>– тежину могућих штетних последица.</w:t>
      </w:r>
    </w:p>
    <w:p>
      <w:pPr>
        <w:spacing w:after="150"/>
        <w:ind w:left="0"/>
        <w:jc w:val="left"/>
      </w:pPr>
      <w:r>
        <w:rPr>
          <w:rFonts w:ascii="Verdana"/>
          <w:b w:val="false"/>
          <w:i w:val="false"/>
          <w:color w:val="000000"/>
          <w:sz w:val="22"/>
        </w:rPr>
        <w:t>За утврђену вероватноћу настанка штетних последица и тежину штетних последица, на основу Табеле 2. утврђује се степен ризика (одредити степен ризика од 1 до 25).</w:t>
      </w:r>
    </w:p>
    <w:p>
      <w:pPr>
        <w:spacing w:after="150"/>
        <w:ind w:left="0"/>
        <w:jc w:val="left"/>
      </w:pPr>
      <w:r>
        <w:rPr>
          <w:rFonts w:ascii="Verdana"/>
          <w:b w:val="false"/>
          <w:i w:val="false"/>
          <w:color w:val="000000"/>
          <w:sz w:val="22"/>
        </w:rPr>
        <w:t>Табела 1: Метода 5 x 5 – матрица ризика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9"/>
        <w:gridCol w:w="1558"/>
        <w:gridCol w:w="1558"/>
        <w:gridCol w:w="2556"/>
        <w:gridCol w:w="2556"/>
        <w:gridCol w:w="2556"/>
        <w:gridCol w:w="2557"/>
      </w:tblGrid>
      <w:tr>
        <w:trPr>
          <w:trHeight w:val="45" w:hRule="atLeast"/>
        </w:trPr>
        <w:tc>
          <w:tcPr>
            <w:tcW w:w="0" w:type="auto"/>
            <w:gridSpan w:val="2"/>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Вероватноћа настанка штетних последица</w:t>
            </w:r>
          </w:p>
        </w:tc>
        <w:tc>
          <w:tcPr>
            <w:tcW w:w="0" w:type="auto"/>
            <w:gridSpan w:val="5"/>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Тежина штетних последица</w:t>
            </w:r>
          </w:p>
        </w:tc>
      </w:tr>
      <w:tr>
        <w:trPr>
          <w:trHeight w:val="45" w:hRule="atLeast"/>
        </w:trPr>
        <w:tc>
          <w:tcPr>
            <w:tcW w:w="0" w:type="auto"/>
            <w:gridSpan w:val="2"/>
            <w:vMerge/>
            <w:tcBorders>
              <w:top w:val="nil"/>
              <w:left w:val="single" w:color="000000" w:sz="8"/>
              <w:bottom w:val="single" w:color="000000" w:sz="8"/>
              <w:right w:val="single" w:color="000000" w:sz="8"/>
            </w:tcBorders>
          </w:tcP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c>
          <w:tcPr>
            <w:tcW w:w="25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r>
      <w:tr>
        <w:trPr>
          <w:trHeight w:val="45" w:hRule="atLeast"/>
        </w:trPr>
        <w:tc>
          <w:tcPr>
            <w:tcW w:w="105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Занемарљива</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w:t>
            </w:r>
          </w:p>
        </w:tc>
        <w:tc>
          <w:tcPr>
            <w:tcW w:w="25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w:t>
            </w:r>
          </w:p>
        </w:tc>
      </w:tr>
      <w:tr>
        <w:trPr>
          <w:trHeight w:val="45" w:hRule="atLeast"/>
        </w:trPr>
        <w:tc>
          <w:tcPr>
            <w:tcW w:w="105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Мала</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w:t>
            </w:r>
          </w:p>
        </w:tc>
        <w:tc>
          <w:tcPr>
            <w:tcW w:w="25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10</w:t>
            </w:r>
          </w:p>
        </w:tc>
      </w:tr>
      <w:tr>
        <w:trPr>
          <w:trHeight w:val="45" w:hRule="atLeast"/>
        </w:trPr>
        <w:tc>
          <w:tcPr>
            <w:tcW w:w="105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Средња</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12</w:t>
            </w:r>
          </w:p>
        </w:tc>
        <w:tc>
          <w:tcPr>
            <w:tcW w:w="25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15</w:t>
            </w:r>
          </w:p>
        </w:tc>
      </w:tr>
      <w:tr>
        <w:trPr>
          <w:trHeight w:val="45" w:hRule="atLeast"/>
        </w:trPr>
        <w:tc>
          <w:tcPr>
            <w:tcW w:w="105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Велика</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12</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16</w:t>
            </w:r>
          </w:p>
        </w:tc>
        <w:tc>
          <w:tcPr>
            <w:tcW w:w="25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20</w:t>
            </w:r>
          </w:p>
        </w:tc>
      </w:tr>
      <w:tr>
        <w:trPr>
          <w:trHeight w:val="45" w:hRule="atLeast"/>
        </w:trPr>
        <w:tc>
          <w:tcPr>
            <w:tcW w:w="105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Изразито велика</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10</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15</w:t>
            </w:r>
          </w:p>
        </w:tc>
        <w:tc>
          <w:tcPr>
            <w:tcW w:w="25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20</w:t>
            </w:r>
          </w:p>
        </w:tc>
        <w:tc>
          <w:tcPr>
            <w:tcW w:w="25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25</w:t>
            </w:r>
          </w:p>
        </w:tc>
      </w:tr>
    </w:tbl>
    <w:p>
      <w:pPr>
        <w:spacing w:after="150"/>
        <w:ind w:left="0"/>
        <w:jc w:val="left"/>
      </w:pPr>
      <w:r>
        <w:rPr>
          <w:rFonts w:ascii="Verdana"/>
          <w:b w:val="false"/>
          <w:i w:val="false"/>
          <w:color w:val="000000"/>
          <w:sz w:val="22"/>
        </w:rPr>
        <w:t>Табела 2: Степен ризика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2686"/>
        <w:gridCol w:w="1714"/>
      </w:tblGrid>
      <w:tr>
        <w:trPr>
          <w:trHeight w:val="45" w:hRule="atLeast"/>
        </w:trPr>
        <w:tc>
          <w:tcPr>
            <w:tcW w:w="126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Бројчана вредност ризика</w:t>
            </w:r>
          </w:p>
        </w:tc>
        <w:tc>
          <w:tcPr>
            <w:tcW w:w="17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Квалитативни опис ризика</w:t>
            </w:r>
          </w:p>
        </w:tc>
      </w:tr>
      <w:tr>
        <w:trPr>
          <w:trHeight w:val="45" w:hRule="atLeast"/>
        </w:trPr>
        <w:tc>
          <w:tcPr>
            <w:tcW w:w="126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1, 2</w:t>
            </w:r>
          </w:p>
        </w:tc>
        <w:tc>
          <w:tcPr>
            <w:tcW w:w="17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Незнатан</w:t>
            </w:r>
          </w:p>
        </w:tc>
      </w:tr>
      <w:tr>
        <w:trPr>
          <w:trHeight w:val="45" w:hRule="atLeast"/>
        </w:trPr>
        <w:tc>
          <w:tcPr>
            <w:tcW w:w="126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3, 4, 5</w:t>
            </w:r>
          </w:p>
        </w:tc>
        <w:tc>
          <w:tcPr>
            <w:tcW w:w="17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Низак</w:t>
            </w:r>
          </w:p>
        </w:tc>
      </w:tr>
      <w:tr>
        <w:trPr>
          <w:trHeight w:val="45" w:hRule="atLeast"/>
        </w:trPr>
        <w:tc>
          <w:tcPr>
            <w:tcW w:w="126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6, 8, 9</w:t>
            </w:r>
          </w:p>
        </w:tc>
        <w:tc>
          <w:tcPr>
            <w:tcW w:w="17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Средњи</w:t>
            </w:r>
          </w:p>
        </w:tc>
      </w:tr>
      <w:tr>
        <w:trPr>
          <w:trHeight w:val="45" w:hRule="atLeast"/>
        </w:trPr>
        <w:tc>
          <w:tcPr>
            <w:tcW w:w="126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10, 12, 15, 16</w:t>
            </w:r>
          </w:p>
        </w:tc>
        <w:tc>
          <w:tcPr>
            <w:tcW w:w="17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Висок</w:t>
            </w:r>
          </w:p>
        </w:tc>
      </w:tr>
      <w:tr>
        <w:trPr>
          <w:trHeight w:val="45" w:hRule="atLeast"/>
        </w:trPr>
        <w:tc>
          <w:tcPr>
            <w:tcW w:w="126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20, 25</w:t>
            </w:r>
          </w:p>
        </w:tc>
        <w:tc>
          <w:tcPr>
            <w:tcW w:w="171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Критичан</w:t>
            </w:r>
          </w:p>
        </w:tc>
      </w:tr>
    </w:tbl>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